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420"/>
        </w:tabs>
        <w:spacing w:after="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Turkish Airlines anuncia nuevas decisiones de nombramiento</w:t>
      </w:r>
    </w:p>
    <w:p w:rsidR="00000000" w:rsidDel="00000000" w:rsidP="00000000" w:rsidRDefault="00000000" w:rsidRPr="00000000" w14:paraId="00000003">
      <w:pPr>
        <w:spacing w:after="0" w:lineRule="auto"/>
        <w:ind w:firstLine="708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Turhan Özen, quien fue designado para el puesto de Director de Carga de Turkish Airlines con la decisión de la Junta Directiva de fecha 7 de octubre de 2016, decidió continuar su carrera fuera de nuestra empresa después de más de siete años de exitoso servicio. Entregará sus funciones a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Ali Türk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a partir del 1 de enero de 2024.</w:t>
      </w:r>
    </w:p>
    <w:p w:rsidR="00000000" w:rsidDel="00000000" w:rsidP="00000000" w:rsidRDefault="00000000" w:rsidRPr="00000000" w14:paraId="00000005">
      <w:pPr>
        <w:spacing w:after="0" w:lineRule="auto"/>
        <w:ind w:firstLine="708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Turhan Özen, quien se unió a Turkish Airlines con más de 25 años de experiencia en los sectores de logística y gestión de la cadena de suministro, aumentó significativamente los ingresos y la participación de mercado global de la marca de carga de la aerolínea,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Turkish Cargo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. A principios de 2022, Turkish Cargo se trasladó a SmartIst, la instalación de carga aérea más grande de Europa, y registró mejoras significativas en la atención al cliente, la calidad del servicio y la gama de productos durante este período.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Ali Türk, quien asumirá el puesto de Director de Carga en nuestra corporación a partir del 1 de enero de 2024, se graduó en el Departamento de Ingeniería Industrial de la Universidad Técnica de Estambul y completó un programa Executive MBA en la misma universidad. El Sr. Türk comenzó su carrera en 1999 y ocupó cargos en Başak Hayat Insurance, Ülker Group of Companies y Ceva Logistics antes de unirse a Turkish Airlines en 2011. Continuó su función como Jefe de Carga en 2012. En mayo de 2016, comenzó a trabajar en Turkcell, y desde marzo de 2017 hasta diciembre de 2023, se desempeñó como Director General Adjunto de Gestión de la Cadena de Suministro en Turkcell y las empresas de su grupo, responsable de adquisiciones, logística, arrendamiento, gestión de datos de contratos, derechos de transición, construcción y procesos inmobiliarios.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Asimismo, se ha modificado la estructura organizacional, modificando el cargo de Director Comercial a Director Operativo. Tras esta decisión,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Kerem Sarp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que se desempeñaba como director comercial, continuará como director general de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Ajet Air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Transport A.Ş., y Mehmet Akif Konar ha sido nombrado director de operaciones.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Kerem Sarp completó sus estudios universitarios y de maestría en Ingeniería Comercial en la Universidad Técnica de Estambul. Comenzó su carrera profesional en 1995 y trabajó en diversos puestos en Belbim A.Ş., Vestel Group of Companies y Opet Petroleum A.Ş., antes de trabajar en Turkish Airlines de 2004 a 2021. Durante su mandato en nuestra corporación, ocupó cargos como Director de Planificación y Proyectos de Inversiones, Director Regional para América y Lejano Oriente, Jefe de Planificación de Producción, Jefe de Marketing y Ventas y, más recientemente, Director Comercial. Trabajó como Subdirector General a cargo de Estrategia en Turkcell desde septiembre de 2021 hasta noviembre de 2023.</w: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Agradecemos a Turhan Özen y Kerem Sarp por sus contribuciones a nuestra compañía y deseamos a Turhan Özen éxito en sus proyectos futuros. También deseamos éxito a Kerem Sarp, Ali Türk y M. Akif Konar en sus nuevos roles en Turkish Airlines.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u w:val="single"/>
          <w:rtl w:val="0"/>
        </w:rPr>
        <w:t xml:space="preserve">Acerca de Turkish Airlines</w:t>
      </w: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Fundada en 1933 con una flota de cinco aviones, Turkish Airlines, miembro de Star Alliance, tiene una flota de 439 aviones (de pasajeros y de carga) que vuelan a 345 destinos en todo el mundo, 292 internacionales y 53 nacionales en 129 países. Puede encontrar más información sobre Turkish Airlines en su sitio web oficial </w:t>
      </w:r>
      <w:hyperlink r:id="rId7">
        <w:r w:rsidDel="00000000" w:rsidR="00000000" w:rsidRPr="00000000">
          <w:rPr>
            <w:rFonts w:ascii="Book Antiqua" w:cs="Book Antiqua" w:eastAsia="Book Antiqua" w:hAnsi="Book Antiqua"/>
            <w:color w:val="0000ff"/>
            <w:sz w:val="18"/>
            <w:szCs w:val="18"/>
            <w:u w:val="single"/>
            <w:rtl w:val="0"/>
          </w:rPr>
          <w:t xml:space="preserve">www.turkishairlines.com</w:t>
        </w:r>
      </w:hyperlink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 o en sus cuentas de redes sociales en Facebook, Twitter, YouTube, LinkedIn e Instagram.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u w:val="single"/>
          <w:rtl w:val="0"/>
        </w:rPr>
        <w:t xml:space="preserve">Acerca de Star Alliance</w:t>
      </w: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La red Star Alliance se estableció en 1997 como la primera alianza de aerolíneas verdaderamente global, basada en una propuesta de valor para el cliente de alcance global, reconocimiento mundial y servicio impecable. Desde su creación, ha ofrecido la red de aerolíneas más grande y completa, centrándose en mejorar la experiencia del cliente durante todo el viaje de la Alianza. Las aerolíneas miembros son: Aegean Airlines, Air Canada, Air China, Air India, Air New Zealand, ANA, Asiana Airlines, Austrian, Avianca, Bruselas Airlines, Copa Airlines, Croatia Airlines, EGYPTAIR, Ethiopian Airlines, EVA Air, LOT Polish Airlines , Lufthansa, Scandinavian Airlines, Shenzhen Airlines, Singapore Airlines, South African Airways, SWISS, TAP Air Portugal, THAI, Turkish Airlines y United. En total, la red Star Alliance ofrece actualmente más de 10.000 vuelos diarios a casi 1.200 aeropuertos en 184 países. Los socios de conexión de Star Alliance, Juneyao Airlines y THAI Smile Airways, ofrecen más vuelos de conexión.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Star Alliance Press Office: Tel: +65 8729 6691 Email: </w:t>
      </w:r>
      <w:hyperlink r:id="rId8">
        <w:r w:rsidDel="00000000" w:rsidR="00000000" w:rsidRPr="00000000">
          <w:rPr>
            <w:rFonts w:ascii="Book Antiqua" w:cs="Book Antiqua" w:eastAsia="Book Antiqua" w:hAnsi="Book Antiqua"/>
            <w:color w:val="0000ff"/>
            <w:sz w:val="18"/>
            <w:szCs w:val="18"/>
            <w:u w:val="single"/>
            <w:rtl w:val="0"/>
          </w:rPr>
          <w:t xml:space="preserve">mediarelations@staralliance.com</w:t>
        </w:r>
      </w:hyperlink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 Visita nuestro </w:t>
      </w:r>
      <w:hyperlink r:id="rId9">
        <w:r w:rsidDel="00000000" w:rsidR="00000000" w:rsidRPr="00000000">
          <w:rPr>
            <w:rFonts w:ascii="Book Antiqua" w:cs="Book Antiqua" w:eastAsia="Book Antiqua" w:hAnsi="Book Antiqua"/>
            <w:color w:val="1155cc"/>
            <w:sz w:val="18"/>
            <w:szCs w:val="18"/>
            <w:u w:val="single"/>
            <w:rtl w:val="0"/>
          </w:rPr>
          <w:t xml:space="preserve">sitio web</w:t>
        </w:r>
      </w:hyperlink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 o conecta con nostros en social media: 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</w:rPr>
        <w:drawing>
          <wp:inline distB="0" distT="0" distL="0" distR="0">
            <wp:extent cx="180975" cy="180975"/>
            <wp:effectExtent b="0" l="0" r="0" t="0"/>
            <wp:docPr descr="Logo, company name&#10;&#10;Description automatically generated" id="3" name="image4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</w:rPr>
        <w:drawing>
          <wp:inline distB="0" distT="0" distL="0" distR="0">
            <wp:extent cx="180975" cy="180975"/>
            <wp:effectExtent b="0" l="0" r="0" t="0"/>
            <wp:docPr descr="A picture containing text, clipart&#10;&#10;Description automatically generated" id="7" name="image7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</w:rPr>
        <w:drawing>
          <wp:inline distB="0" distT="0" distL="0" distR="0">
            <wp:extent cx="180975" cy="180975"/>
            <wp:effectExtent b="0" l="0" r="0" t="0"/>
            <wp:docPr descr="cid:image004.jpg@01D8EDE0.169F1050" id="6" name="image6.jpg"/>
            <a:graphic>
              <a:graphicData uri="http://schemas.openxmlformats.org/drawingml/2006/picture">
                <pic:pic>
                  <pic:nvPicPr>
                    <pic:cNvPr descr="cid:image004.jpg@01D8EDE0.169F1050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</w:rPr>
        <w:drawing>
          <wp:inline distB="0" distT="0" distL="0" distR="0">
            <wp:extent cx="209550" cy="180975"/>
            <wp:effectExtent b="0" l="0" r="0" t="0"/>
            <wp:docPr descr="cid:image005.png@01D8EDE0.169F1050" id="1" name="image5.png"/>
            <a:graphic>
              <a:graphicData uri="http://schemas.openxmlformats.org/drawingml/2006/picture">
                <pic:pic>
                  <pic:nvPicPr>
                    <pic:cNvPr descr="cid:image005.png@01D8EDE0.169F1050"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</w:rPr>
        <w:drawing>
          <wp:inline distB="0" distT="0" distL="0" distR="0">
            <wp:extent cx="257175" cy="180975"/>
            <wp:effectExtent b="0" l="0" r="0" t="0"/>
            <wp:docPr descr="cid:image015.png@01D8EDE0.169F1050" id="2" name="image1.png"/>
            <a:graphic>
              <a:graphicData uri="http://schemas.openxmlformats.org/drawingml/2006/picture">
                <pic:pic>
                  <pic:nvPicPr>
                    <pic:cNvPr descr="cid:image015.png@01D8EDE0.169F1050"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Turkish Airlines Inc.</w:t>
    </w:r>
  </w:p>
  <w:p w:rsidR="00000000" w:rsidDel="00000000" w:rsidP="00000000" w:rsidRDefault="00000000" w:rsidRPr="00000000" w14:paraId="0000001E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Office of Media Relations</w:t>
    </w:r>
  </w:p>
  <w:p w:rsidR="00000000" w:rsidDel="00000000" w:rsidP="00000000" w:rsidRDefault="00000000" w:rsidRPr="00000000" w14:paraId="0000001F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General Management Building</w:t>
    </w:r>
  </w:p>
  <w:p w:rsidR="00000000" w:rsidDel="00000000" w:rsidP="00000000" w:rsidRDefault="00000000" w:rsidRPr="00000000" w14:paraId="00000020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34149, Yesilköy-Istanbul</w:t>
    </w:r>
  </w:p>
  <w:p w:rsidR="00000000" w:rsidDel="00000000" w:rsidP="00000000" w:rsidRDefault="00000000" w:rsidRPr="00000000" w14:paraId="00000021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Tel:  +90 (212) 463 63 63 – 11153 / 11173</w:t>
    </w:r>
  </w:p>
  <w:p w:rsidR="00000000" w:rsidDel="00000000" w:rsidP="00000000" w:rsidRDefault="00000000" w:rsidRPr="00000000" w14:paraId="00000022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Fax: +90 (212) 465 20 78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3886200</wp:posOffset>
          </wp:positionH>
          <wp:positionV relativeFrom="paragraph">
            <wp:posOffset>41275</wp:posOffset>
          </wp:positionV>
          <wp:extent cx="1943100" cy="240665"/>
          <wp:effectExtent b="0" l="0" r="0" t="0"/>
          <wp:wrapNone/>
          <wp:docPr descr="starlogo" id="4" name="image3.jpg"/>
          <a:graphic>
            <a:graphicData uri="http://schemas.openxmlformats.org/drawingml/2006/picture">
              <pic:pic>
                <pic:nvPicPr>
                  <pic:cNvPr descr="starlogo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100" cy="240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0" w:line="240" w:lineRule="auto"/>
      <w:rPr>
        <w:rFonts w:ascii="Times New Roman" w:cs="Times New Roman" w:eastAsia="Times New Roman" w:hAnsi="Times New Roman"/>
        <w:sz w:val="14"/>
        <w:szCs w:val="14"/>
      </w:rPr>
    </w:pPr>
    <w:hyperlink r:id="rId2">
      <w:r w:rsidDel="00000000" w:rsidR="00000000" w:rsidRPr="00000000">
        <w:rPr>
          <w:rFonts w:ascii="Arial" w:cs="Arial" w:eastAsia="Arial" w:hAnsi="Arial"/>
          <w:color w:val="0000ff"/>
          <w:sz w:val="12"/>
          <w:szCs w:val="12"/>
          <w:u w:val="single"/>
          <w:rtl w:val="0"/>
        </w:rPr>
        <w:t xml:space="preserve">press@thy.com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443163" cy="443451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3648" l="0" r="0" t="34029"/>
                  <a:stretch>
                    <a:fillRect/>
                  </a:stretch>
                </pic:blipFill>
                <pic:spPr>
                  <a:xfrm>
                    <a:off x="0" y="0"/>
                    <a:ext cx="2443163" cy="4434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aralliance.com/en/home" TargetMode="External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urkishairlines.com" TargetMode="External"/><Relationship Id="rId8" Type="http://schemas.openxmlformats.org/officeDocument/2006/relationships/hyperlink" Target="mailto:mediarelations@starallianc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mailto:press@th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CW2yWzQXFr+cxcMOg4XiBSQcw==">CgMxLjAyCGguZ2pkZ3hzOAByITFRUTk5TDRrZ19TLWoyclhnb3lsV0hXQWhtRlhfVlQ1aQ==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